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461EB" w:rsidRPr="00373A26" w:rsidRDefault="003461EB" w:rsidP="00373A26">
      <w:pPr>
        <w:ind w:left="396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noProof/>
          <w:sz w:val="44"/>
        </w:rPr>
        <w:drawing>
          <wp:anchor distT="0" distB="0" distL="114300" distR="114300" simplePos="0" relativeHeight="251659264" behindDoc="1" locked="0" layoutInCell="1" allowOverlap="1" wp14:anchorId="64DD24F6" wp14:editId="12DFF10C">
            <wp:simplePos x="2202180" y="609600"/>
            <wp:positionH relativeFrom="margin">
              <wp:align>center</wp:align>
            </wp:positionH>
            <wp:positionV relativeFrom="margin">
              <wp:align>top</wp:align>
            </wp:positionV>
            <wp:extent cx="2440940" cy="838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anchor>
        </w:drawing>
      </w: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Held at the Donald “red” loehr police and court center</w:t>
      </w:r>
    </w:p>
    <w:p w:rsidR="00373A26" w:rsidRPr="00084727" w:rsidRDefault="00373A26" w:rsidP="00373A26">
      <w:pPr>
        <w:ind w:right="180"/>
        <w:jc w:val="center"/>
        <w:rPr>
          <w:rFonts w:ascii="Georgia" w:hAnsi="Georgia"/>
          <w:caps/>
        </w:rPr>
      </w:pPr>
      <w:r w:rsidRPr="00084727">
        <w:rPr>
          <w:rFonts w:asciiTheme="majorHAnsi" w:hAnsiTheme="majorHAnsi"/>
          <w:bCs/>
          <w:caps/>
        </w:rPr>
        <w:t>300 Park Drive ~ Ballwin Missouri 63011</w:t>
      </w:r>
    </w:p>
    <w:p w:rsidR="003461EB" w:rsidRDefault="003461EB" w:rsidP="00B30D72">
      <w:pPr>
        <w:tabs>
          <w:tab w:val="left" w:pos="5595"/>
        </w:tabs>
        <w:ind w:right="180"/>
        <w:rPr>
          <w:rFonts w:ascii="Felix Titling" w:hAnsi="Felix Titling"/>
          <w:b/>
          <w:sz w:val="22"/>
        </w:rPr>
      </w:pPr>
    </w:p>
    <w:p w:rsidR="006E066A" w:rsidRDefault="0027225E" w:rsidP="00B30D72">
      <w:pPr>
        <w:ind w:right="180"/>
        <w:jc w:val="center"/>
        <w:rPr>
          <w:rFonts w:asciiTheme="majorHAnsi" w:hAnsiTheme="majorHAnsi"/>
          <w:b/>
          <w:sz w:val="32"/>
        </w:rPr>
      </w:pPr>
      <w:r>
        <w:rPr>
          <w:rFonts w:asciiTheme="majorHAnsi" w:hAnsiTheme="majorHAnsi"/>
          <w:b/>
          <w:sz w:val="32"/>
        </w:rPr>
        <w:t>April 2</w:t>
      </w:r>
      <w:r w:rsidR="006E066A">
        <w:rPr>
          <w:rFonts w:asciiTheme="majorHAnsi" w:hAnsiTheme="majorHAnsi"/>
          <w:b/>
          <w:sz w:val="32"/>
        </w:rPr>
        <w:t>, 2018</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41740B">
        <w:rPr>
          <w:rFonts w:ascii="Calisto MT" w:hAnsi="Calisto MT" w:cs="Arial"/>
          <w:b/>
          <w:bCs/>
          <w:sz w:val="24"/>
          <w:szCs w:val="24"/>
        </w:rPr>
        <w:tab/>
      </w:r>
      <w:r w:rsidR="00641304" w:rsidRPr="00084727">
        <w:rPr>
          <w:rFonts w:asciiTheme="majorHAnsi" w:hAnsiTheme="majorHAnsi" w:cs="Arial"/>
          <w:b/>
          <w:bCs/>
          <w:sz w:val="24"/>
          <w:szCs w:val="24"/>
        </w:rPr>
        <w:t>1.</w:t>
      </w:r>
      <w:r w:rsidR="00641304" w:rsidRPr="00084727">
        <w:rPr>
          <w:rFonts w:asciiTheme="majorHAnsi" w:hAnsiTheme="majorHAnsi" w:cs="Arial"/>
          <w:b/>
          <w:bCs/>
          <w:sz w:val="24"/>
          <w:szCs w:val="24"/>
        </w:rPr>
        <w:tab/>
      </w:r>
      <w:r w:rsidR="003461EB" w:rsidRPr="00084727">
        <w:rPr>
          <w:rFonts w:asciiTheme="majorHAnsi" w:hAnsiTheme="majorHAnsi" w:cs="Arial"/>
          <w:b/>
          <w:bCs/>
          <w:sz w:val="24"/>
          <w:szCs w:val="24"/>
        </w:rPr>
        <w:t>Call to Order</w:t>
      </w:r>
    </w:p>
    <w:p w:rsidR="00596E0D" w:rsidRPr="00084727"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280B07" w:rsidRPr="00084727">
        <w:rPr>
          <w:rFonts w:asciiTheme="majorHAnsi" w:hAnsiTheme="majorHAnsi" w:cs="Arial"/>
          <w:b/>
          <w:bCs/>
          <w:sz w:val="24"/>
          <w:szCs w:val="24"/>
        </w:rPr>
        <w:t>2.</w:t>
      </w:r>
      <w:r w:rsidR="00280B07" w:rsidRPr="00084727">
        <w:rPr>
          <w:rFonts w:asciiTheme="majorHAnsi" w:hAnsiTheme="majorHAnsi" w:cs="Arial"/>
          <w:b/>
          <w:bCs/>
          <w:sz w:val="24"/>
          <w:szCs w:val="24"/>
        </w:rPr>
        <w:tab/>
      </w:r>
      <w:r w:rsidR="009E7A4F" w:rsidRPr="00084727">
        <w:rPr>
          <w:rFonts w:asciiTheme="majorHAnsi" w:hAnsiTheme="majorHAnsi" w:cs="Arial"/>
          <w:b/>
          <w:bCs/>
          <w:sz w:val="24"/>
          <w:szCs w:val="24"/>
        </w:rPr>
        <w:t xml:space="preserve">Approval of Minutes  </w:t>
      </w:r>
    </w:p>
    <w:p w:rsidR="007A72CE" w:rsidRPr="00084727"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808CF" w:rsidRPr="00084727" w:rsidRDefault="007A72CE" w:rsidP="007808CF">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sidR="00994A5C">
        <w:rPr>
          <w:rFonts w:asciiTheme="majorHAnsi" w:hAnsiTheme="majorHAnsi" w:cs="Arial"/>
          <w:b/>
          <w:bCs/>
          <w:sz w:val="24"/>
          <w:szCs w:val="24"/>
        </w:rPr>
        <w:t>Z18-01</w:t>
      </w:r>
      <w:r w:rsidR="007808CF" w:rsidRPr="00084727">
        <w:rPr>
          <w:rFonts w:asciiTheme="majorHAnsi" w:hAnsiTheme="majorHAnsi" w:cs="Arial"/>
          <w:b/>
          <w:bCs/>
          <w:sz w:val="24"/>
          <w:szCs w:val="24"/>
        </w:rPr>
        <w:t xml:space="preserve"> – </w:t>
      </w:r>
      <w:r w:rsidR="00994A5C">
        <w:rPr>
          <w:rFonts w:asciiTheme="majorHAnsi" w:hAnsiTheme="majorHAnsi" w:cs="Arial"/>
          <w:b/>
          <w:bCs/>
          <w:sz w:val="24"/>
          <w:szCs w:val="24"/>
        </w:rPr>
        <w:t>Zoning Ordinance Regulation Change</w:t>
      </w:r>
    </w:p>
    <w:p w:rsidR="007808CF" w:rsidRPr="00084727" w:rsidRDefault="007808CF" w:rsidP="00994A5C">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994A5C">
        <w:rPr>
          <w:rFonts w:asciiTheme="majorHAnsi" w:hAnsiTheme="majorHAnsi" w:cs="Arial"/>
          <w:bCs/>
          <w:sz w:val="24"/>
          <w:szCs w:val="24"/>
        </w:rPr>
        <w:t xml:space="preserve">Zoning Ordinance: Appendix A, Article XIV, Section </w:t>
      </w:r>
      <w:r w:rsidR="00D848DA">
        <w:rPr>
          <w:rFonts w:asciiTheme="majorHAnsi" w:hAnsiTheme="majorHAnsi" w:cs="Arial"/>
          <w:bCs/>
          <w:sz w:val="24"/>
          <w:szCs w:val="24"/>
        </w:rPr>
        <w:t>8</w:t>
      </w:r>
      <w:bookmarkStart w:id="0" w:name="_GoBack"/>
      <w:bookmarkEnd w:id="0"/>
    </w:p>
    <w:p w:rsidR="007808CF" w:rsidRPr="00084727" w:rsidRDefault="007808CF" w:rsidP="007808CF">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sidR="00994A5C">
        <w:rPr>
          <w:rFonts w:asciiTheme="majorHAnsi" w:hAnsiTheme="majorHAnsi" w:cs="Arial"/>
          <w:bCs/>
          <w:i/>
          <w:sz w:val="22"/>
          <w:szCs w:val="22"/>
        </w:rPr>
        <w:t xml:space="preserve">Mr. Andy Hixson, City of Ballwin, 14811 Manchester Rd, Ballwin MO  63011 </w:t>
      </w:r>
    </w:p>
    <w:p w:rsidR="007808CF" w:rsidRPr="00084727" w:rsidRDefault="007808CF" w:rsidP="007808CF">
      <w:pPr>
        <w:widowControl w:val="0"/>
        <w:tabs>
          <w:tab w:val="right" w:pos="540"/>
          <w:tab w:val="left" w:pos="720"/>
          <w:tab w:val="center" w:pos="4680"/>
        </w:tabs>
        <w:ind w:left="720" w:right="180" w:hanging="540"/>
        <w:rPr>
          <w:rFonts w:asciiTheme="majorHAnsi" w:hAnsiTheme="majorHAnsi"/>
          <w:sz w:val="8"/>
          <w:szCs w:val="8"/>
        </w:rPr>
      </w:pPr>
      <w:r w:rsidRPr="00084727">
        <w:rPr>
          <w:rFonts w:asciiTheme="majorHAnsi" w:hAnsiTheme="majorHAnsi"/>
          <w:sz w:val="8"/>
          <w:szCs w:val="8"/>
        </w:rPr>
        <w:tab/>
      </w:r>
      <w:r w:rsidRPr="00084727">
        <w:rPr>
          <w:rFonts w:asciiTheme="majorHAnsi" w:hAnsiTheme="majorHAnsi"/>
          <w:sz w:val="8"/>
          <w:szCs w:val="8"/>
        </w:rPr>
        <w:tab/>
      </w:r>
    </w:p>
    <w:p w:rsidR="005E5B4D" w:rsidRDefault="00994A5C" w:rsidP="005E5B4D">
      <w:pPr>
        <w:widowControl w:val="0"/>
        <w:ind w:left="720" w:right="360"/>
        <w:jc w:val="both"/>
        <w:rPr>
          <w:rFonts w:ascii="Arial" w:hAnsi="Arial" w:cs="Arial"/>
        </w:rPr>
      </w:pPr>
      <w:r w:rsidRPr="00994A5C">
        <w:rPr>
          <w:rFonts w:ascii="Arial" w:hAnsi="Arial" w:cs="Arial"/>
        </w:rPr>
        <w:t>The period of validity for Special Use Exceptions that are affected by construction schedules and the issuance of building permits</w:t>
      </w:r>
      <w:r>
        <w:rPr>
          <w:rFonts w:ascii="Arial" w:hAnsi="Arial" w:cs="Arial"/>
        </w:rPr>
        <w:t xml:space="preserve"> must be amended to accurately reflect these contingencies.</w:t>
      </w:r>
    </w:p>
    <w:p w:rsidR="00994A5C" w:rsidRDefault="00994A5C" w:rsidP="005E5B4D">
      <w:pPr>
        <w:widowControl w:val="0"/>
        <w:ind w:left="720" w:right="360"/>
        <w:jc w:val="both"/>
        <w:rPr>
          <w:rFonts w:ascii="Arial" w:hAnsi="Arial" w:cs="Arial"/>
        </w:rPr>
      </w:pPr>
    </w:p>
    <w:p w:rsidR="00994A5C" w:rsidRPr="00084727" w:rsidRDefault="00994A5C" w:rsidP="00994A5C">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E82F58">
        <w:rPr>
          <w:rFonts w:asciiTheme="majorHAnsi" w:hAnsiTheme="majorHAnsi" w:cs="Arial"/>
          <w:b/>
          <w:bCs/>
          <w:sz w:val="24"/>
          <w:szCs w:val="24"/>
        </w:rPr>
        <w:t>4</w:t>
      </w:r>
      <w:r w:rsidRPr="00084727">
        <w:rPr>
          <w:rFonts w:asciiTheme="majorHAnsi" w:hAnsiTheme="majorHAnsi" w:cs="Arial"/>
          <w:b/>
          <w:bCs/>
          <w:sz w:val="24"/>
          <w:szCs w:val="24"/>
        </w:rPr>
        <w:t>.</w:t>
      </w:r>
      <w:r w:rsidRPr="00084727">
        <w:rPr>
          <w:rFonts w:asciiTheme="majorHAnsi" w:hAnsiTheme="majorHAnsi" w:cs="Arial"/>
          <w:b/>
          <w:bCs/>
          <w:sz w:val="24"/>
          <w:szCs w:val="24"/>
        </w:rPr>
        <w:tab/>
      </w:r>
      <w:r>
        <w:rPr>
          <w:rFonts w:asciiTheme="majorHAnsi" w:hAnsiTheme="majorHAnsi" w:cs="Arial"/>
          <w:b/>
          <w:bCs/>
          <w:sz w:val="24"/>
          <w:szCs w:val="24"/>
        </w:rPr>
        <w:t>Z18-02</w:t>
      </w:r>
      <w:r w:rsidRPr="00084727">
        <w:rPr>
          <w:rFonts w:asciiTheme="majorHAnsi" w:hAnsiTheme="majorHAnsi" w:cs="Arial"/>
          <w:b/>
          <w:bCs/>
          <w:sz w:val="24"/>
          <w:szCs w:val="24"/>
        </w:rPr>
        <w:t xml:space="preserve"> – </w:t>
      </w:r>
      <w:r>
        <w:rPr>
          <w:rFonts w:asciiTheme="majorHAnsi" w:hAnsiTheme="majorHAnsi" w:cs="Arial"/>
          <w:b/>
          <w:bCs/>
          <w:sz w:val="24"/>
          <w:szCs w:val="24"/>
        </w:rPr>
        <w:t>Zoning Ordinance Regulation Change</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Pr>
          <w:rFonts w:asciiTheme="majorHAnsi" w:hAnsiTheme="majorHAnsi" w:cs="Arial"/>
          <w:bCs/>
          <w:sz w:val="24"/>
          <w:szCs w:val="24"/>
        </w:rPr>
        <w:t>Zoning Ordinance: Section 30, Article XVI, Appendix A</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Andy Hixson, City of Ballwin, 14811 Manchester Rd, Ballwin MO  63011 </w:t>
      </w:r>
    </w:p>
    <w:p w:rsidR="00994A5C" w:rsidRPr="00084727" w:rsidRDefault="00994A5C" w:rsidP="00994A5C">
      <w:pPr>
        <w:widowControl w:val="0"/>
        <w:tabs>
          <w:tab w:val="right" w:pos="540"/>
          <w:tab w:val="left" w:pos="720"/>
          <w:tab w:val="center" w:pos="4680"/>
        </w:tabs>
        <w:ind w:left="720" w:right="180" w:hanging="540"/>
        <w:rPr>
          <w:rFonts w:asciiTheme="majorHAnsi" w:hAnsiTheme="majorHAnsi"/>
          <w:sz w:val="8"/>
          <w:szCs w:val="8"/>
        </w:rPr>
      </w:pPr>
      <w:r w:rsidRPr="00084727">
        <w:rPr>
          <w:rFonts w:asciiTheme="majorHAnsi" w:hAnsiTheme="majorHAnsi"/>
          <w:sz w:val="8"/>
          <w:szCs w:val="8"/>
        </w:rPr>
        <w:tab/>
      </w:r>
      <w:r w:rsidRPr="00084727">
        <w:rPr>
          <w:rFonts w:asciiTheme="majorHAnsi" w:hAnsiTheme="majorHAnsi"/>
          <w:sz w:val="8"/>
          <w:szCs w:val="8"/>
        </w:rPr>
        <w:tab/>
      </w:r>
    </w:p>
    <w:p w:rsidR="00994A5C" w:rsidRPr="00994A5C" w:rsidRDefault="00994A5C" w:rsidP="005E5B4D">
      <w:pPr>
        <w:widowControl w:val="0"/>
        <w:ind w:left="720" w:right="360"/>
        <w:jc w:val="both"/>
        <w:rPr>
          <w:rFonts w:ascii="Arial" w:hAnsi="Arial" w:cs="Arial"/>
        </w:rPr>
      </w:pPr>
      <w:r>
        <w:rPr>
          <w:rFonts w:ascii="Arial" w:hAnsi="Arial" w:cs="Arial"/>
        </w:rPr>
        <w:t>The use and regulation of Short Term Residential Rentals for properties within single-family zoning districts within the City of Ballwin.</w:t>
      </w:r>
    </w:p>
    <w:p w:rsidR="005E5B4D" w:rsidRPr="00084727" w:rsidRDefault="005E5B4D" w:rsidP="005E5B4D">
      <w:pPr>
        <w:widowControl w:val="0"/>
        <w:ind w:left="720" w:right="360"/>
        <w:jc w:val="both"/>
        <w:rPr>
          <w:rFonts w:asciiTheme="majorHAnsi" w:hAnsiTheme="majorHAnsi"/>
        </w:rPr>
      </w:pPr>
      <w:r w:rsidRPr="00084727">
        <w:rPr>
          <w:rFonts w:asciiTheme="majorHAnsi" w:hAnsiTheme="majorHAnsi"/>
        </w:rPr>
        <w:t xml:space="preserve"> </w:t>
      </w:r>
    </w:p>
    <w:p w:rsidR="006C0A20" w:rsidRPr="00084727" w:rsidRDefault="008E38B0"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E82F58">
        <w:rPr>
          <w:rFonts w:asciiTheme="majorHAnsi" w:hAnsiTheme="majorHAnsi" w:cs="Arial"/>
          <w:b/>
          <w:bCs/>
          <w:sz w:val="24"/>
          <w:szCs w:val="24"/>
        </w:rPr>
        <w:t>5</w:t>
      </w:r>
      <w:r w:rsidR="00A47024" w:rsidRPr="00084727">
        <w:rPr>
          <w:rFonts w:asciiTheme="majorHAnsi" w:hAnsiTheme="majorHAnsi" w:cs="Arial"/>
          <w:b/>
          <w:bCs/>
          <w:sz w:val="24"/>
          <w:szCs w:val="24"/>
        </w:rPr>
        <w:t>.</w:t>
      </w:r>
      <w:r w:rsidR="00A47024" w:rsidRPr="00084727">
        <w:rPr>
          <w:rFonts w:asciiTheme="majorHAnsi" w:hAnsiTheme="majorHAnsi" w:cs="Arial"/>
          <w:b/>
          <w:bCs/>
          <w:sz w:val="24"/>
          <w:szCs w:val="24"/>
        </w:rPr>
        <w:tab/>
      </w:r>
      <w:r w:rsidR="00B431E5" w:rsidRPr="00084727">
        <w:rPr>
          <w:rFonts w:asciiTheme="majorHAnsi" w:hAnsiTheme="majorHAnsi" w:cs="Arial"/>
          <w:b/>
          <w:bCs/>
          <w:sz w:val="24"/>
          <w:szCs w:val="24"/>
        </w:rPr>
        <w:t>Adjournment</w:t>
      </w:r>
    </w:p>
    <w:sectPr w:rsidR="006C0A20" w:rsidRPr="00084727" w:rsidSect="00725A0A">
      <w:footerReference w:type="default" r:id="rId9"/>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727" w:rsidRDefault="00084727">
      <w:r>
        <w:separator/>
      </w:r>
    </w:p>
  </w:endnote>
  <w:endnote w:type="continuationSeparator" w:id="0">
    <w:p w:rsidR="00084727" w:rsidRDefault="0008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66A" w:rsidRPr="006E066A" w:rsidRDefault="006E066A"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6E066A" w:rsidRDefault="006E066A">
    <w:pPr>
      <w:pStyle w:val="Footer"/>
    </w:pPr>
  </w:p>
  <w:p w:rsidR="006E066A" w:rsidRDefault="006E0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727" w:rsidRDefault="00084727">
      <w:r>
        <w:separator/>
      </w:r>
    </w:p>
  </w:footnote>
  <w:footnote w:type="continuationSeparator" w:id="0">
    <w:p w:rsidR="00084727" w:rsidRDefault="00084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911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140</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5</cp:revision>
  <cp:lastPrinted>2018-04-03T18:43:00Z</cp:lastPrinted>
  <dcterms:created xsi:type="dcterms:W3CDTF">2018-03-22T16:05:00Z</dcterms:created>
  <dcterms:modified xsi:type="dcterms:W3CDTF">2018-04-03T18:47:00Z</dcterms:modified>
</cp:coreProperties>
</file>